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2D11" w14:textId="3ED62261" w:rsidR="00A52236" w:rsidRPr="00A52236" w:rsidRDefault="002D044A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Abbeyfield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Chalfonts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) Society Ltd.</w:t>
      </w:r>
    </w:p>
    <w:p w14:paraId="5D80C6EE" w14:textId="28F49F7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D5DB438" w14:textId="333A5149" w:rsidR="00A52236" w:rsidRPr="00453A54" w:rsidRDefault="00453A5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  <w:r w:rsidR="002D044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126AFD" w:rsidRPr="00DF73C3">
        <w:rPr>
          <w:rFonts w:ascii="Arial" w:eastAsia="Times New Roman" w:hAnsi="Arial" w:cs="Arial"/>
          <w:b/>
          <w:bCs/>
          <w:sz w:val="24"/>
          <w:szCs w:val="24"/>
        </w:rPr>
        <w:t>30-11-</w:t>
      </w:r>
      <w:r w:rsidR="007B3EFE" w:rsidRPr="00DF73C3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0CEDF956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167"/>
        <w:gridCol w:w="811"/>
        <w:gridCol w:w="810"/>
      </w:tblGrid>
      <w:tr w:rsidR="00A87135" w:rsidRPr="00A87135" w14:paraId="5D852D9A" w14:textId="77777777" w:rsidTr="00771000">
        <w:tc>
          <w:tcPr>
            <w:tcW w:w="9209" w:type="dxa"/>
            <w:gridSpan w:val="4"/>
            <w:shd w:val="clear" w:color="auto" w:fill="D9E2F3" w:themeFill="accent1" w:themeFillTint="33"/>
          </w:tcPr>
          <w:p w14:paraId="2A5FA71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208305E0" w14:textId="5B280BF5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6A212C" w14:textId="77777777" w:rsidTr="00AA2A1E">
        <w:tc>
          <w:tcPr>
            <w:tcW w:w="421" w:type="dxa"/>
          </w:tcPr>
          <w:p w14:paraId="593354D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14:paraId="214BC66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811" w:type="dxa"/>
          </w:tcPr>
          <w:p w14:paraId="7306492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3308BA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3DCDAD64" w14:textId="77777777" w:rsidTr="00AA2A1E">
        <w:tc>
          <w:tcPr>
            <w:tcW w:w="421" w:type="dxa"/>
          </w:tcPr>
          <w:p w14:paraId="6A873B7F" w14:textId="2CC049DD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1025EE9" w14:textId="08451DBC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3300007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DA2D4" w14:textId="72549BF7" w:rsidR="00A87135" w:rsidRP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C663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E97B6F" w14:textId="48BC8A1B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E31210B" w14:textId="32C96484" w:rsidR="00A87135" w:rsidRPr="00A87135" w:rsidRDefault="00005D1C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A321F4F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87135" w:rsidRPr="00A87135" w14:paraId="7533E1DD" w14:textId="77777777" w:rsidTr="00AA2A1E">
        <w:tc>
          <w:tcPr>
            <w:tcW w:w="421" w:type="dxa"/>
          </w:tcPr>
          <w:p w14:paraId="16819B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53E77EC" w14:textId="32F054B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811" w:type="dxa"/>
          </w:tcPr>
          <w:p w14:paraId="488B4910" w14:textId="37C8FCCD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27ECAB9" w14:textId="27E6DCD7" w:rsidR="00A87135" w:rsidRPr="00A87135" w:rsidRDefault="00005D1C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X*</w:t>
            </w:r>
          </w:p>
        </w:tc>
      </w:tr>
      <w:tr w:rsidR="00A87135" w:rsidRPr="00A87135" w14:paraId="40E86516" w14:textId="77777777" w:rsidTr="006C7618">
        <w:tc>
          <w:tcPr>
            <w:tcW w:w="421" w:type="dxa"/>
          </w:tcPr>
          <w:p w14:paraId="626CC0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B698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737F811E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7D92C" w14:textId="4848B5A4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  <w:r w:rsidR="00E407CF">
              <w:rPr>
                <w:rFonts w:ascii="Arial" w:hAnsi="Arial" w:cs="Arial"/>
                <w:sz w:val="24"/>
                <w:szCs w:val="24"/>
              </w:rPr>
              <w:t xml:space="preserve"> – in line with HO guidance</w:t>
            </w:r>
          </w:p>
          <w:p w14:paraId="2C8AC977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96FE9" w14:textId="3872C410" w:rsidR="00956005" w:rsidRPr="00005D1C" w:rsidRDefault="00377A2A" w:rsidP="00377A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05D1C">
              <w:rPr>
                <w:rFonts w:ascii="Arial" w:hAnsi="Arial" w:cs="Arial"/>
                <w:sz w:val="24"/>
                <w:szCs w:val="24"/>
              </w:rPr>
              <w:t xml:space="preserve">Complaints policy under review to adapt to </w:t>
            </w:r>
            <w:r w:rsidR="00153D40">
              <w:rPr>
                <w:rFonts w:ascii="Arial" w:hAnsi="Arial" w:cs="Arial"/>
                <w:sz w:val="24"/>
                <w:szCs w:val="24"/>
              </w:rPr>
              <w:t>Complaint Handling Code requirements</w:t>
            </w:r>
          </w:p>
          <w:p w14:paraId="0113EB71" w14:textId="635F9D11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743BF0AA" w14:textId="24B7B1A2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3A8CA6D1" w14:textId="48D0ABB5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F87D48" w14:textId="77777777" w:rsidTr="00AA2A1E">
        <w:tc>
          <w:tcPr>
            <w:tcW w:w="421" w:type="dxa"/>
          </w:tcPr>
          <w:p w14:paraId="2E7AC99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14:paraId="3793B1F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811" w:type="dxa"/>
          </w:tcPr>
          <w:p w14:paraId="381E447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561DE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9D80145" w14:textId="77777777" w:rsidTr="00AA2A1E">
        <w:tc>
          <w:tcPr>
            <w:tcW w:w="421" w:type="dxa"/>
          </w:tcPr>
          <w:p w14:paraId="25EB0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3B4F77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811" w:type="dxa"/>
          </w:tcPr>
          <w:p w14:paraId="702E84EA" w14:textId="043BEF44" w:rsidR="00A87135" w:rsidRDefault="003508EB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  <w:p w14:paraId="1085CC46" w14:textId="3DF80D99" w:rsidR="003508EB" w:rsidRPr="00A87135" w:rsidRDefault="003508EB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FA5691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25EB633" w14:textId="77777777" w:rsidTr="00AA2A1E">
        <w:tc>
          <w:tcPr>
            <w:tcW w:w="421" w:type="dxa"/>
          </w:tcPr>
          <w:p w14:paraId="4EB5930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6D5462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811" w:type="dxa"/>
          </w:tcPr>
          <w:p w14:paraId="5EF16098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D138EEB" w14:textId="6DCF1F7E" w:rsidR="00A87135" w:rsidRPr="00A87135" w:rsidRDefault="003508EB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X*</w:t>
            </w:r>
          </w:p>
        </w:tc>
      </w:tr>
      <w:tr w:rsidR="00A87135" w:rsidRPr="00A87135" w14:paraId="250186A8" w14:textId="77777777" w:rsidTr="00AA2A1E">
        <w:tc>
          <w:tcPr>
            <w:tcW w:w="421" w:type="dxa"/>
          </w:tcPr>
          <w:p w14:paraId="26807A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9E84E47" w14:textId="33A563B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811" w:type="dxa"/>
          </w:tcPr>
          <w:p w14:paraId="500FC219" w14:textId="705A6FC7" w:rsidR="003508EB" w:rsidRPr="00A87135" w:rsidRDefault="003508EB" w:rsidP="00350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07961DCA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43777B0" w14:textId="77777777" w:rsidTr="00AA2A1E">
        <w:tc>
          <w:tcPr>
            <w:tcW w:w="421" w:type="dxa"/>
          </w:tcPr>
          <w:p w14:paraId="46979E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1A1679C" w14:textId="62BB1F61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811" w:type="dxa"/>
          </w:tcPr>
          <w:p w14:paraId="6810B1DF" w14:textId="337E1F9D" w:rsidR="003508EB" w:rsidRPr="00A87135" w:rsidRDefault="003508EB" w:rsidP="00350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6384AEEC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747F2AB" w14:textId="77777777" w:rsidTr="00AA2A1E">
        <w:tc>
          <w:tcPr>
            <w:tcW w:w="421" w:type="dxa"/>
          </w:tcPr>
          <w:p w14:paraId="0EF7809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14:paraId="480DF39B" w14:textId="11E1D3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811" w:type="dxa"/>
          </w:tcPr>
          <w:p w14:paraId="5A4762B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A2E569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A5C497F" w14:textId="77777777" w:rsidTr="00AA2A1E">
        <w:tc>
          <w:tcPr>
            <w:tcW w:w="421" w:type="dxa"/>
          </w:tcPr>
          <w:p w14:paraId="0E3557F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F7CBAB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811" w:type="dxa"/>
          </w:tcPr>
          <w:p w14:paraId="5F147884" w14:textId="2A4B52D2" w:rsidR="002A65E5" w:rsidRPr="00A87135" w:rsidRDefault="002A65E5" w:rsidP="002A65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2F603EF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23C67CD" w14:textId="77777777" w:rsidTr="00AA2A1E">
        <w:tc>
          <w:tcPr>
            <w:tcW w:w="421" w:type="dxa"/>
          </w:tcPr>
          <w:p w14:paraId="617C56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A1792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811" w:type="dxa"/>
          </w:tcPr>
          <w:p w14:paraId="755E36E3" w14:textId="554E1092" w:rsidR="002A65E5" w:rsidRPr="00A87135" w:rsidRDefault="002A65E5" w:rsidP="002A65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3A6C927C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0ED9CE4" w14:textId="77777777" w:rsidTr="00AA2A1E">
        <w:tc>
          <w:tcPr>
            <w:tcW w:w="421" w:type="dxa"/>
          </w:tcPr>
          <w:p w14:paraId="12670B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635BF3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811" w:type="dxa"/>
          </w:tcPr>
          <w:p w14:paraId="26F4418C" w14:textId="1C0CE653" w:rsidR="002A65E5" w:rsidRPr="00A87135" w:rsidRDefault="002A65E5" w:rsidP="002A65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038358AD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F6DF22" w14:textId="77777777" w:rsidTr="00AA2A1E">
        <w:trPr>
          <w:trHeight w:val="70"/>
        </w:trPr>
        <w:tc>
          <w:tcPr>
            <w:tcW w:w="421" w:type="dxa"/>
          </w:tcPr>
          <w:p w14:paraId="16A8D1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58AA85F" w14:textId="688473A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gramStart"/>
            <w:r w:rsidR="00956005">
              <w:rPr>
                <w:rFonts w:ascii="Arial" w:hAnsi="Arial" w:cs="Arial"/>
                <w:sz w:val="24"/>
                <w:szCs w:val="24"/>
              </w:rPr>
              <w:t>complaints</w:t>
            </w:r>
            <w:proofErr w:type="gramEnd"/>
            <w:r w:rsidR="00956005">
              <w:rPr>
                <w:rFonts w:ascii="Arial" w:hAnsi="Arial" w:cs="Arial"/>
                <w:sz w:val="24"/>
                <w:szCs w:val="24"/>
              </w:rPr>
              <w:t xml:space="preserve">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811" w:type="dxa"/>
          </w:tcPr>
          <w:p w14:paraId="136A2998" w14:textId="28D9FA64" w:rsidR="002A65E5" w:rsidRPr="00A87135" w:rsidRDefault="002A65E5" w:rsidP="002A65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6ACA60F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D24AA91" w14:textId="77777777" w:rsidTr="00AA2A1E">
        <w:tc>
          <w:tcPr>
            <w:tcW w:w="421" w:type="dxa"/>
          </w:tcPr>
          <w:p w14:paraId="49DB21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6AE5D7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811" w:type="dxa"/>
          </w:tcPr>
          <w:p w14:paraId="1A44A40E" w14:textId="7445C4BF" w:rsidR="00B161E3" w:rsidRPr="00A87135" w:rsidRDefault="00B161E3" w:rsidP="00B161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6567072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0B6970E" w14:textId="77777777" w:rsidTr="00AA2A1E">
        <w:tc>
          <w:tcPr>
            <w:tcW w:w="421" w:type="dxa"/>
          </w:tcPr>
          <w:p w14:paraId="12B05EC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3300967" w14:textId="1620F952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811" w:type="dxa"/>
          </w:tcPr>
          <w:p w14:paraId="34E56E7D" w14:textId="3044ECFC" w:rsidR="00B161E3" w:rsidRPr="00A87135" w:rsidRDefault="00B161E3" w:rsidP="00B161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60CC827B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8B4CF7F" w14:textId="77777777" w:rsidTr="00AA2A1E">
        <w:tc>
          <w:tcPr>
            <w:tcW w:w="421" w:type="dxa"/>
          </w:tcPr>
          <w:p w14:paraId="17CDBC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D54C2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811" w:type="dxa"/>
          </w:tcPr>
          <w:p w14:paraId="73D64FC6" w14:textId="3ADF0412" w:rsidR="00B161E3" w:rsidRPr="00A87135" w:rsidRDefault="00B161E3" w:rsidP="00B161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7FBF4B33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7CCC6C" w14:textId="77777777" w:rsidTr="00AA2A1E">
        <w:tc>
          <w:tcPr>
            <w:tcW w:w="421" w:type="dxa"/>
          </w:tcPr>
          <w:p w14:paraId="7B8931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E8A9966" w14:textId="6375A0A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  <w:r w:rsidR="00B161E3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  <w:p w14:paraId="462BA1F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063C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CE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6419EFA9" w14:textId="3D845A9F" w:rsidR="00A87135" w:rsidRPr="00A87135" w:rsidRDefault="00A11518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520C148A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95337F7" w14:textId="77777777" w:rsidTr="00AA2A1E">
        <w:tc>
          <w:tcPr>
            <w:tcW w:w="421" w:type="dxa"/>
          </w:tcPr>
          <w:p w14:paraId="32BB205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167" w:type="dxa"/>
          </w:tcPr>
          <w:p w14:paraId="4FD503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11" w:type="dxa"/>
          </w:tcPr>
          <w:p w14:paraId="39FCA0AE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AD1033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0938C9" w14:textId="77777777" w:rsidTr="00AA2A1E">
        <w:tc>
          <w:tcPr>
            <w:tcW w:w="421" w:type="dxa"/>
          </w:tcPr>
          <w:p w14:paraId="7896C4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FCCD5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811" w:type="dxa"/>
          </w:tcPr>
          <w:p w14:paraId="7EA48CA1" w14:textId="56542241" w:rsidR="00A87135" w:rsidRDefault="00B161E3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  <w:p w14:paraId="5F5F86F5" w14:textId="32A1A786" w:rsidR="00B161E3" w:rsidRPr="00A87135" w:rsidRDefault="00B161E3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C94FD9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C8E5C4" w14:textId="77777777" w:rsidTr="00AA2A1E">
        <w:tc>
          <w:tcPr>
            <w:tcW w:w="421" w:type="dxa"/>
          </w:tcPr>
          <w:p w14:paraId="48D441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A33B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811" w:type="dxa"/>
          </w:tcPr>
          <w:p w14:paraId="5DADCF51" w14:textId="7B36D906" w:rsidR="00A87135" w:rsidRDefault="00B605E9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  <w:p w14:paraId="60CEE7B1" w14:textId="6B274C7A" w:rsidR="00B605E9" w:rsidRPr="00A87135" w:rsidRDefault="00B605E9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C9B66EF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BE3FA3" w14:textId="77777777" w:rsidTr="00AA2A1E">
        <w:tc>
          <w:tcPr>
            <w:tcW w:w="421" w:type="dxa"/>
          </w:tcPr>
          <w:p w14:paraId="66239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E30EE79" w14:textId="48EF6978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811" w:type="dxa"/>
          </w:tcPr>
          <w:p w14:paraId="36398AC0" w14:textId="47117806" w:rsidR="00B605E9" w:rsidRPr="00A87135" w:rsidRDefault="00B605E9" w:rsidP="00B605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88CA5B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286689" w14:textId="77777777" w:rsidTr="00AA2A1E">
        <w:tc>
          <w:tcPr>
            <w:tcW w:w="421" w:type="dxa"/>
          </w:tcPr>
          <w:p w14:paraId="6B9C28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0BB701E" w14:textId="13A060B9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811" w:type="dxa"/>
          </w:tcPr>
          <w:p w14:paraId="329B07DF" w14:textId="413FB825" w:rsidR="00A87135" w:rsidRDefault="00B605E9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  <w:p w14:paraId="11C926B6" w14:textId="04364FAB" w:rsidR="00B605E9" w:rsidRPr="00A87135" w:rsidRDefault="00B605E9" w:rsidP="00B605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DED899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BBF40AB" w14:textId="77777777" w:rsidTr="00881CD9">
        <w:tc>
          <w:tcPr>
            <w:tcW w:w="421" w:type="dxa"/>
          </w:tcPr>
          <w:p w14:paraId="74F2607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6BDF79" w14:textId="2F3C7120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7268CC71" w14:textId="48EC7CF8" w:rsidR="00A8713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397800B0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4719ED" w14:textId="77777777" w:rsidTr="00881CD9">
        <w:tc>
          <w:tcPr>
            <w:tcW w:w="421" w:type="dxa"/>
          </w:tcPr>
          <w:p w14:paraId="0320CD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C67E310" w14:textId="3CCC96E4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587EA724" w14:textId="030AEA14" w:rsidR="00A8713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0DDF081E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4B80" w:rsidRPr="00A87135" w14:paraId="727BFD9C" w14:textId="77777777" w:rsidTr="00881CD9">
        <w:tc>
          <w:tcPr>
            <w:tcW w:w="421" w:type="dxa"/>
          </w:tcPr>
          <w:p w14:paraId="6DA704A3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0F6562E" w14:textId="5FFB654E" w:rsidR="00524B80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07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B10662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8F08B9" w14:textId="77777777" w:rsidR="00524B80" w:rsidRPr="00B10662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85B2" w14:textId="67EC79A8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  <w:r w:rsidR="00695457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  <w:p w14:paraId="4B0BB5EA" w14:textId="193A2AF3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</w:p>
          <w:p w14:paraId="1735E508" w14:textId="678E6E96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</w:p>
          <w:p w14:paraId="5E35672D" w14:textId="129CDDDF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</w:p>
          <w:p w14:paraId="3B69C731" w14:textId="2863C97F" w:rsidR="00524B80" w:rsidRPr="00B10662" w:rsidRDefault="00524B80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640B84E1" w14:textId="0068BBC1" w:rsidR="00524B80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28F5A307" w14:textId="77777777" w:rsidR="00524B80" w:rsidRPr="00A87135" w:rsidRDefault="00524B80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DAC6BD" w14:textId="77777777" w:rsidTr="00AA2A1E">
        <w:tc>
          <w:tcPr>
            <w:tcW w:w="421" w:type="dxa"/>
          </w:tcPr>
          <w:p w14:paraId="02BA675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41AA6E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have good reason?</w:t>
            </w:r>
          </w:p>
        </w:tc>
        <w:tc>
          <w:tcPr>
            <w:tcW w:w="811" w:type="dxa"/>
          </w:tcPr>
          <w:p w14:paraId="4D81DE43" w14:textId="75EDA470" w:rsidR="00A8713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0A3881DE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F849598" w14:textId="77777777" w:rsidTr="00AA2A1E">
        <w:tc>
          <w:tcPr>
            <w:tcW w:w="421" w:type="dxa"/>
          </w:tcPr>
          <w:p w14:paraId="4807172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30F17F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resident informed?</w:t>
            </w:r>
          </w:p>
        </w:tc>
        <w:tc>
          <w:tcPr>
            <w:tcW w:w="811" w:type="dxa"/>
          </w:tcPr>
          <w:p w14:paraId="05183E4C" w14:textId="090E359A" w:rsidR="00A8713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0E1AA6FB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6005" w:rsidRPr="00A87135" w14:paraId="233C7B29" w14:textId="77777777" w:rsidTr="006C7618">
        <w:tc>
          <w:tcPr>
            <w:tcW w:w="421" w:type="dxa"/>
          </w:tcPr>
          <w:p w14:paraId="1B2A9D2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CDC403B" w14:textId="66AF8BBE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</w:t>
            </w:r>
            <w:r w:rsidR="00104662">
              <w:rPr>
                <w:rFonts w:ascii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satisfaction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3898E775" w14:textId="5133DC6A" w:rsidR="0095600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5CF44D0B" w14:textId="77777777" w:rsidR="00956005" w:rsidRPr="00A87135" w:rsidRDefault="0095600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72F53C9" w14:textId="77777777" w:rsidTr="00AA2A1E">
        <w:tc>
          <w:tcPr>
            <w:tcW w:w="421" w:type="dxa"/>
          </w:tcPr>
          <w:p w14:paraId="0C6BBA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14:paraId="1BE6D7CC" w14:textId="23ADEA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811" w:type="dxa"/>
          </w:tcPr>
          <w:p w14:paraId="01F1745F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0A0A06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24D17A" w14:textId="77777777" w:rsidTr="00AA2A1E">
        <w:tc>
          <w:tcPr>
            <w:tcW w:w="421" w:type="dxa"/>
          </w:tcPr>
          <w:p w14:paraId="7DAE1B0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B5114E0" w14:textId="66A62550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811" w:type="dxa"/>
          </w:tcPr>
          <w:p w14:paraId="109A83C2" w14:textId="46C8FDB9" w:rsidR="00A8713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12BD6DAA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DAEBE84" w14:textId="77777777" w:rsidTr="00AA2A1E">
        <w:tc>
          <w:tcPr>
            <w:tcW w:w="421" w:type="dxa"/>
          </w:tcPr>
          <w:p w14:paraId="0784EA1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148996" w14:textId="263CF2B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timescale was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Ombudsman informed?</w:t>
            </w:r>
          </w:p>
        </w:tc>
        <w:tc>
          <w:tcPr>
            <w:tcW w:w="811" w:type="dxa"/>
          </w:tcPr>
          <w:p w14:paraId="5BEEF930" w14:textId="74657715" w:rsidR="00A87135" w:rsidRPr="00A87135" w:rsidRDefault="000E32D2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9DA7B0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B99B45E" w14:textId="77777777" w:rsidTr="00AA2A1E">
        <w:tc>
          <w:tcPr>
            <w:tcW w:w="421" w:type="dxa"/>
          </w:tcPr>
          <w:p w14:paraId="43CFBB4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14:paraId="135046C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811" w:type="dxa"/>
          </w:tcPr>
          <w:p w14:paraId="09B8B5D6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248F4A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587667" w14:textId="77777777" w:rsidTr="00AA2A1E">
        <w:tc>
          <w:tcPr>
            <w:tcW w:w="421" w:type="dxa"/>
          </w:tcPr>
          <w:p w14:paraId="42A9539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F983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811" w:type="dxa"/>
          </w:tcPr>
          <w:p w14:paraId="232C3611" w14:textId="10EB0D58" w:rsidR="00CC25E0" w:rsidRPr="00A87135" w:rsidRDefault="00CC25E0" w:rsidP="00CC25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7222F686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D403F93" w14:textId="77777777" w:rsidTr="00AA2A1E">
        <w:tc>
          <w:tcPr>
            <w:tcW w:w="421" w:type="dxa"/>
          </w:tcPr>
          <w:p w14:paraId="56C333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9A8CAED" w14:textId="64F2EE8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811" w:type="dxa"/>
          </w:tcPr>
          <w:p w14:paraId="7B7D9752" w14:textId="4F0A36D6" w:rsidR="00A87135" w:rsidRPr="00A87135" w:rsidRDefault="00CC25E0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1C2331F5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0D52A1D" w14:textId="77777777" w:rsidTr="00AA2A1E">
        <w:tc>
          <w:tcPr>
            <w:tcW w:w="421" w:type="dxa"/>
          </w:tcPr>
          <w:p w14:paraId="74D3AD6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7AF97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26593EF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1D2E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5298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14:paraId="59672E0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DCAC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87D3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0D28BA25" w14:textId="3882A85F" w:rsidR="00A87135" w:rsidRPr="00A87135" w:rsidRDefault="00725630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6E79C706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41CF98B" w14:textId="77777777" w:rsidTr="00AA2A1E">
        <w:tc>
          <w:tcPr>
            <w:tcW w:w="421" w:type="dxa"/>
          </w:tcPr>
          <w:p w14:paraId="1CBD7A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C234D2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811" w:type="dxa"/>
          </w:tcPr>
          <w:p w14:paraId="615432A0" w14:textId="2E0F6840" w:rsidR="00A87135" w:rsidRPr="00A87135" w:rsidRDefault="00725630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6271351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2951CB1" w14:textId="77777777" w:rsidTr="00AA2A1E">
        <w:tc>
          <w:tcPr>
            <w:tcW w:w="421" w:type="dxa"/>
          </w:tcPr>
          <w:p w14:paraId="769E31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14:paraId="2DE65316" w14:textId="6C4974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811" w:type="dxa"/>
          </w:tcPr>
          <w:p w14:paraId="780E348D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40302F4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38E4A80" w14:textId="77777777" w:rsidTr="00AA2A1E">
        <w:tc>
          <w:tcPr>
            <w:tcW w:w="421" w:type="dxa"/>
          </w:tcPr>
          <w:p w14:paraId="7D7A61C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B06FBD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something has gone wrong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taking appropriate steps to put things right?</w:t>
            </w:r>
          </w:p>
        </w:tc>
        <w:tc>
          <w:tcPr>
            <w:tcW w:w="811" w:type="dxa"/>
          </w:tcPr>
          <w:p w14:paraId="35F774FE" w14:textId="005E96A4" w:rsidR="00A87135" w:rsidRPr="00A87135" w:rsidRDefault="0081628F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14FF59C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4C5DF1" w14:textId="77777777" w:rsidTr="00AA2A1E">
        <w:tc>
          <w:tcPr>
            <w:tcW w:w="421" w:type="dxa"/>
          </w:tcPr>
          <w:p w14:paraId="24CCC87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14:paraId="5F3397BB" w14:textId="70BFDB3E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811" w:type="dxa"/>
          </w:tcPr>
          <w:p w14:paraId="5950CF9A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392BA7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1C4DAC2" w14:textId="77777777" w:rsidTr="00AA2A1E">
        <w:tc>
          <w:tcPr>
            <w:tcW w:w="421" w:type="dxa"/>
          </w:tcPr>
          <w:p w14:paraId="74BCA9D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5DFB063" w14:textId="47A455FD" w:rsidR="00A87135" w:rsidRPr="00A87135" w:rsidRDefault="00A87135" w:rsidP="00337B83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  <w:r w:rsidR="00350213">
              <w:rPr>
                <w:rFonts w:ascii="Arial" w:hAnsi="Arial" w:cs="Arial"/>
                <w:sz w:val="24"/>
                <w:szCs w:val="24"/>
              </w:rPr>
              <w:t>A maintenance log was introduced to track</w:t>
            </w:r>
            <w:r w:rsidR="00096B43">
              <w:rPr>
                <w:rFonts w:ascii="Arial" w:hAnsi="Arial" w:cs="Arial"/>
                <w:sz w:val="24"/>
                <w:szCs w:val="24"/>
              </w:rPr>
              <w:t xml:space="preserve"> reporting, action and resolution of work required within the property</w:t>
            </w:r>
            <w:r w:rsidR="00824BCB">
              <w:rPr>
                <w:rFonts w:ascii="Arial" w:hAnsi="Arial" w:cs="Arial"/>
                <w:sz w:val="24"/>
                <w:szCs w:val="24"/>
              </w:rPr>
              <w:t xml:space="preserve">. A </w:t>
            </w:r>
            <w:r w:rsidR="00337B83">
              <w:rPr>
                <w:rFonts w:ascii="Arial" w:hAnsi="Arial" w:cs="Arial"/>
                <w:sz w:val="24"/>
                <w:szCs w:val="24"/>
              </w:rPr>
              <w:t xml:space="preserve">‘how to complain’ </w:t>
            </w:r>
            <w:r w:rsidR="00824BCB">
              <w:rPr>
                <w:rFonts w:ascii="Arial" w:hAnsi="Arial" w:cs="Arial"/>
                <w:sz w:val="24"/>
                <w:szCs w:val="24"/>
              </w:rPr>
              <w:t>poster is permanently displayed on the noticeboard</w:t>
            </w:r>
            <w:r w:rsidR="00337B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217ECC2A" w14:textId="0A05B1AD" w:rsidR="00A87135" w:rsidRPr="00A87135" w:rsidRDefault="0081628F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186B2706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1BA1C7E" w14:textId="77777777" w:rsidTr="00AA2A1E">
        <w:tc>
          <w:tcPr>
            <w:tcW w:w="421" w:type="dxa"/>
          </w:tcPr>
          <w:p w14:paraId="58092C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2FF0286" w14:textId="0B4AC294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do we share these lessons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3C10BEB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0A1C8" w14:textId="2B633B94" w:rsidR="00A87135" w:rsidRPr="00A87135" w:rsidRDefault="00104662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esidents?</w:t>
            </w:r>
            <w:r w:rsidR="00E9625E">
              <w:rPr>
                <w:rFonts w:ascii="Arial" w:hAnsi="Arial" w:cs="Arial"/>
                <w:sz w:val="24"/>
                <w:szCs w:val="24"/>
              </w:rPr>
              <w:t xml:space="preserve"> Residents meetings are held at least twice a year but often more frequently</w:t>
            </w:r>
          </w:p>
          <w:p w14:paraId="20FB5DC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941B" w14:textId="2CA22B0E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  <w:r w:rsidR="00121C0C">
              <w:rPr>
                <w:rFonts w:ascii="Arial" w:hAnsi="Arial" w:cs="Arial"/>
                <w:sz w:val="24"/>
                <w:szCs w:val="24"/>
              </w:rPr>
              <w:t xml:space="preserve"> Facilities</w:t>
            </w:r>
            <w:r w:rsidR="002F2187">
              <w:rPr>
                <w:rFonts w:ascii="Arial" w:hAnsi="Arial" w:cs="Arial"/>
                <w:sz w:val="24"/>
                <w:szCs w:val="24"/>
              </w:rPr>
              <w:t>/residents</w:t>
            </w:r>
            <w:r w:rsidR="00121C0C">
              <w:rPr>
                <w:rFonts w:ascii="Arial" w:hAnsi="Arial" w:cs="Arial"/>
                <w:sz w:val="24"/>
                <w:szCs w:val="24"/>
              </w:rPr>
              <w:t xml:space="preserve"> issues are a permanent item on the agenda</w:t>
            </w:r>
          </w:p>
          <w:p w14:paraId="5620BBB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D7CF" w14:textId="4ACDB741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  <w:r w:rsidR="00121C0C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p w14:paraId="33DCFDD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3BC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B592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3347E823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68A15EAE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EC81253" w14:textId="77777777" w:rsidTr="00AA2A1E">
        <w:trPr>
          <w:trHeight w:val="806"/>
        </w:trPr>
        <w:tc>
          <w:tcPr>
            <w:tcW w:w="421" w:type="dxa"/>
          </w:tcPr>
          <w:p w14:paraId="2BE3DB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F59394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</w:tc>
        <w:tc>
          <w:tcPr>
            <w:tcW w:w="811" w:type="dxa"/>
          </w:tcPr>
          <w:p w14:paraId="7CF83C66" w14:textId="1CF43362" w:rsidR="00A87135" w:rsidRPr="00A87135" w:rsidRDefault="00D33AF0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A3217CE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EB4EDBD" w14:textId="77777777" w:rsidTr="00AA2A1E">
        <w:trPr>
          <w:trHeight w:val="806"/>
        </w:trPr>
        <w:tc>
          <w:tcPr>
            <w:tcW w:w="421" w:type="dxa"/>
          </w:tcPr>
          <w:p w14:paraId="6C73E7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97A27CC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  <w:p w14:paraId="359246AD" w14:textId="0F2394EC" w:rsidR="00121C0C" w:rsidRPr="00A87135" w:rsidRDefault="00121C0C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update the complaints policy</w:t>
            </w:r>
            <w:r w:rsidR="00C863E4">
              <w:rPr>
                <w:rFonts w:ascii="Arial" w:hAnsi="Arial" w:cs="Arial"/>
                <w:sz w:val="24"/>
                <w:szCs w:val="24"/>
              </w:rPr>
              <w:t xml:space="preserve"> in line with updated guidance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issue on website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47AE2267" w14:textId="18CCBF48" w:rsidR="00A87135" w:rsidRPr="00A87135" w:rsidRDefault="00D33AF0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7E6AB529" w14:textId="77777777" w:rsidR="00A87135" w:rsidRPr="00A87135" w:rsidRDefault="00A87135" w:rsidP="00F85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1151A3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75BC38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14C2A0AA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39C7B3F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29175B88" w14:textId="77777777" w:rsidR="00AA2A1E" w:rsidRDefault="00AA2A1E"/>
    <w:sectPr w:rsidR="00AA2A1E" w:rsidSect="00AA2A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7F51" w14:textId="77777777" w:rsidR="001B5A62" w:rsidRDefault="001B5A62">
      <w:pPr>
        <w:spacing w:after="0" w:line="240" w:lineRule="auto"/>
      </w:pPr>
      <w:r>
        <w:separator/>
      </w:r>
    </w:p>
  </w:endnote>
  <w:endnote w:type="continuationSeparator" w:id="0">
    <w:p w14:paraId="332F5DEC" w14:textId="77777777" w:rsidR="001B5A62" w:rsidRDefault="001B5A62">
      <w:pPr>
        <w:spacing w:after="0" w:line="240" w:lineRule="auto"/>
      </w:pPr>
      <w:r>
        <w:continuationSeparator/>
      </w:r>
    </w:p>
  </w:endnote>
  <w:endnote w:type="continuationNotice" w:id="1">
    <w:p w14:paraId="6A9F7468" w14:textId="77777777" w:rsidR="00322DE8" w:rsidRDefault="00322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0E64" w14:textId="77777777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DAE6B2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2CDD" w14:textId="77777777" w:rsidR="001B5A62" w:rsidRDefault="001B5A62">
      <w:pPr>
        <w:spacing w:after="0" w:line="240" w:lineRule="auto"/>
      </w:pPr>
      <w:r>
        <w:separator/>
      </w:r>
    </w:p>
  </w:footnote>
  <w:footnote w:type="continuationSeparator" w:id="0">
    <w:p w14:paraId="55A5B69F" w14:textId="77777777" w:rsidR="001B5A62" w:rsidRDefault="001B5A62">
      <w:pPr>
        <w:spacing w:after="0" w:line="240" w:lineRule="auto"/>
      </w:pPr>
      <w:r>
        <w:continuationSeparator/>
      </w:r>
    </w:p>
  </w:footnote>
  <w:footnote w:type="continuationNotice" w:id="1">
    <w:p w14:paraId="50445FFE" w14:textId="77777777" w:rsidR="00322DE8" w:rsidRDefault="00322D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A0A94"/>
    <w:multiLevelType w:val="hybridMultilevel"/>
    <w:tmpl w:val="8B6407B2"/>
    <w:lvl w:ilvl="0" w:tplc="1616C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2C33"/>
    <w:multiLevelType w:val="hybridMultilevel"/>
    <w:tmpl w:val="D83ADA16"/>
    <w:lvl w:ilvl="0" w:tplc="2140D71C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 w:tplc="E5741DEC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 w:tplc="6988FBC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 w:tplc="F1DAD442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 w:tplc="6C14A2BC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 w:tplc="A8F2F3AC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 w:tplc="96384668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 w:tplc="5E740BB4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 w:tplc="4A341C36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1AC7938"/>
    <w:multiLevelType w:val="hybridMultilevel"/>
    <w:tmpl w:val="4CA4AFE8"/>
    <w:lvl w:ilvl="0" w:tplc="F5ECED04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7A42CDFC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 w:tplc="DA0EE9C4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 w:tplc="C916E548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 w:tplc="B3F8B980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 w:tplc="D3D8AA30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 w:tplc="72C0A6EC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 w:tplc="1938D9C8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 w:tplc="868658D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20BA"/>
    <w:multiLevelType w:val="hybridMultilevel"/>
    <w:tmpl w:val="EF122E7E"/>
    <w:lvl w:ilvl="0" w:tplc="C43A8D3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20ACEC24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 w:tplc="CF9E5730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 w:tplc="2FB6D0D6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 w:tplc="4F469012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 w:tplc="998644C2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 w:tplc="41801A60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 w:tplc="40AA2B3C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 w:tplc="EEB08C66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726C7"/>
    <w:multiLevelType w:val="hybridMultilevel"/>
    <w:tmpl w:val="B306A0CA"/>
    <w:lvl w:ilvl="0" w:tplc="D4D47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3C0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B25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7F40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30E5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C6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E2B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B67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F8EF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3A2E9A"/>
    <w:multiLevelType w:val="hybridMultilevel"/>
    <w:tmpl w:val="FEA000BE"/>
    <w:lvl w:ilvl="0" w:tplc="DD0EEBC2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 w:tplc="FEB8698A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 w:tplc="4866F7BE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 w:tplc="C0A40840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 w:tplc="F612BE10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 w:tplc="20F80ED0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 w:tplc="BE680FF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 w:tplc="B2DE5CC6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 w:tplc="7602BEE2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6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50690"/>
    <w:multiLevelType w:val="hybridMultilevel"/>
    <w:tmpl w:val="CC2C5454"/>
    <w:lvl w:ilvl="0" w:tplc="A9B62E2A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 w:tplc="6FB8439E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 w:tplc="6204D2A0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 w:tplc="CA00DDB2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 w:tplc="A1723F5E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 w:tplc="60DE7BBA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 w:tplc="20B6384E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 w:tplc="83E0B2AC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 w:tplc="28CEBA3C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11F4C60"/>
    <w:multiLevelType w:val="hybridMultilevel"/>
    <w:tmpl w:val="EAB84738"/>
    <w:lvl w:ilvl="0" w:tplc="9568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D4DC4C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 w:tplc="F9C0D948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 w:tplc="42FABB4A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 w:tplc="9DECFBF2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 w:tplc="1DB2B642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 w:tplc="8A50C060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 w:tplc="A5A4F864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 w:tplc="B6683A30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5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9" w15:restartNumberingAfterBreak="0">
    <w:nsid w:val="74134A11"/>
    <w:multiLevelType w:val="hybridMultilevel"/>
    <w:tmpl w:val="88BE7996"/>
    <w:lvl w:ilvl="0" w:tplc="C658951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EC24AD20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 w:tplc="3D845466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 w:tplc="2076CA24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 w:tplc="77CA17B2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 w:tplc="49B2AD8E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 w:tplc="8C3C5A1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 w:tplc="7EAA9CE4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 w:tplc="4EDEF1E2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1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"/>
  </w:num>
  <w:num w:numId="5">
    <w:abstractNumId w:val="31"/>
  </w:num>
  <w:num w:numId="6">
    <w:abstractNumId w:val="20"/>
  </w:num>
  <w:num w:numId="7">
    <w:abstractNumId w:val="16"/>
  </w:num>
  <w:num w:numId="8">
    <w:abstractNumId w:val="25"/>
  </w:num>
  <w:num w:numId="9">
    <w:abstractNumId w:val="3"/>
  </w:num>
  <w:num w:numId="10">
    <w:abstractNumId w:val="27"/>
  </w:num>
  <w:num w:numId="11">
    <w:abstractNumId w:val="22"/>
  </w:num>
  <w:num w:numId="12">
    <w:abstractNumId w:val="8"/>
  </w:num>
  <w:num w:numId="13">
    <w:abstractNumId w:val="21"/>
  </w:num>
  <w:num w:numId="14">
    <w:abstractNumId w:val="0"/>
  </w:num>
  <w:num w:numId="15">
    <w:abstractNumId w:val="1"/>
  </w:num>
  <w:num w:numId="16">
    <w:abstractNumId w:val="12"/>
  </w:num>
  <w:num w:numId="17">
    <w:abstractNumId w:val="23"/>
  </w:num>
  <w:num w:numId="18">
    <w:abstractNumId w:val="24"/>
  </w:num>
  <w:num w:numId="19">
    <w:abstractNumId w:val="26"/>
  </w:num>
  <w:num w:numId="20">
    <w:abstractNumId w:val="5"/>
  </w:num>
  <w:num w:numId="21">
    <w:abstractNumId w:val="14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30"/>
  </w:num>
  <w:num w:numId="27">
    <w:abstractNumId w:val="15"/>
  </w:num>
  <w:num w:numId="28">
    <w:abstractNumId w:val="13"/>
  </w:num>
  <w:num w:numId="29">
    <w:abstractNumId w:val="29"/>
  </w:num>
  <w:num w:numId="30">
    <w:abstractNumId w:val="10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6"/>
    <w:rsid w:val="00005D1C"/>
    <w:rsid w:val="0003701A"/>
    <w:rsid w:val="000427F6"/>
    <w:rsid w:val="00084267"/>
    <w:rsid w:val="000857ED"/>
    <w:rsid w:val="0008689D"/>
    <w:rsid w:val="00087092"/>
    <w:rsid w:val="00096B43"/>
    <w:rsid w:val="000E32D2"/>
    <w:rsid w:val="00104662"/>
    <w:rsid w:val="00121C0C"/>
    <w:rsid w:val="00126AFD"/>
    <w:rsid w:val="00134085"/>
    <w:rsid w:val="00153D40"/>
    <w:rsid w:val="00162C08"/>
    <w:rsid w:val="001B5A62"/>
    <w:rsid w:val="001B65FF"/>
    <w:rsid w:val="001E11D8"/>
    <w:rsid w:val="001E37E3"/>
    <w:rsid w:val="001F3B59"/>
    <w:rsid w:val="00200F95"/>
    <w:rsid w:val="00205A7A"/>
    <w:rsid w:val="00217355"/>
    <w:rsid w:val="00226EC5"/>
    <w:rsid w:val="002A65E5"/>
    <w:rsid w:val="002B6179"/>
    <w:rsid w:val="002D044A"/>
    <w:rsid w:val="002E4C11"/>
    <w:rsid w:val="002F2187"/>
    <w:rsid w:val="002F3FE6"/>
    <w:rsid w:val="0031190E"/>
    <w:rsid w:val="00315110"/>
    <w:rsid w:val="00322DE8"/>
    <w:rsid w:val="00337B83"/>
    <w:rsid w:val="00350213"/>
    <w:rsid w:val="003508EB"/>
    <w:rsid w:val="003706D6"/>
    <w:rsid w:val="00377A2A"/>
    <w:rsid w:val="003979C4"/>
    <w:rsid w:val="003A3A60"/>
    <w:rsid w:val="003A7227"/>
    <w:rsid w:val="003B7402"/>
    <w:rsid w:val="003D7E8C"/>
    <w:rsid w:val="003F670A"/>
    <w:rsid w:val="00407273"/>
    <w:rsid w:val="004424AD"/>
    <w:rsid w:val="00453A54"/>
    <w:rsid w:val="004734AB"/>
    <w:rsid w:val="0048676A"/>
    <w:rsid w:val="00492042"/>
    <w:rsid w:val="004A1788"/>
    <w:rsid w:val="004A2EAE"/>
    <w:rsid w:val="004D1037"/>
    <w:rsid w:val="0051014B"/>
    <w:rsid w:val="00524B80"/>
    <w:rsid w:val="00533C3F"/>
    <w:rsid w:val="00545385"/>
    <w:rsid w:val="005471BE"/>
    <w:rsid w:val="00551AE4"/>
    <w:rsid w:val="005728AC"/>
    <w:rsid w:val="005A144C"/>
    <w:rsid w:val="005E53F4"/>
    <w:rsid w:val="005E604D"/>
    <w:rsid w:val="006079F3"/>
    <w:rsid w:val="00620630"/>
    <w:rsid w:val="00621FBC"/>
    <w:rsid w:val="006300C9"/>
    <w:rsid w:val="00684349"/>
    <w:rsid w:val="00695457"/>
    <w:rsid w:val="006A6E91"/>
    <w:rsid w:val="006C7618"/>
    <w:rsid w:val="00725630"/>
    <w:rsid w:val="00771000"/>
    <w:rsid w:val="00787865"/>
    <w:rsid w:val="007B3EFE"/>
    <w:rsid w:val="007F45A2"/>
    <w:rsid w:val="0081628F"/>
    <w:rsid w:val="00823608"/>
    <w:rsid w:val="00824BCB"/>
    <w:rsid w:val="008361A7"/>
    <w:rsid w:val="00863592"/>
    <w:rsid w:val="00863DD0"/>
    <w:rsid w:val="00881CD9"/>
    <w:rsid w:val="008865BD"/>
    <w:rsid w:val="008A22C7"/>
    <w:rsid w:val="008A5A0B"/>
    <w:rsid w:val="008C2BEF"/>
    <w:rsid w:val="008D2D66"/>
    <w:rsid w:val="009015F8"/>
    <w:rsid w:val="009060BF"/>
    <w:rsid w:val="009351DF"/>
    <w:rsid w:val="00945187"/>
    <w:rsid w:val="00956005"/>
    <w:rsid w:val="00993CF1"/>
    <w:rsid w:val="00996E24"/>
    <w:rsid w:val="009B79F8"/>
    <w:rsid w:val="00A0095B"/>
    <w:rsid w:val="00A11518"/>
    <w:rsid w:val="00A418F5"/>
    <w:rsid w:val="00A52236"/>
    <w:rsid w:val="00A60CF2"/>
    <w:rsid w:val="00A61A6D"/>
    <w:rsid w:val="00A64EFA"/>
    <w:rsid w:val="00A72AAB"/>
    <w:rsid w:val="00A87135"/>
    <w:rsid w:val="00A92663"/>
    <w:rsid w:val="00AA2A1E"/>
    <w:rsid w:val="00AB66DE"/>
    <w:rsid w:val="00B10662"/>
    <w:rsid w:val="00B161E3"/>
    <w:rsid w:val="00B56A9B"/>
    <w:rsid w:val="00B605E9"/>
    <w:rsid w:val="00B76672"/>
    <w:rsid w:val="00B95CA8"/>
    <w:rsid w:val="00BD7388"/>
    <w:rsid w:val="00BE198E"/>
    <w:rsid w:val="00BE247A"/>
    <w:rsid w:val="00BE630E"/>
    <w:rsid w:val="00BE678E"/>
    <w:rsid w:val="00C863E4"/>
    <w:rsid w:val="00CA6F5C"/>
    <w:rsid w:val="00CC25E0"/>
    <w:rsid w:val="00D06852"/>
    <w:rsid w:val="00D33AF0"/>
    <w:rsid w:val="00D5257A"/>
    <w:rsid w:val="00D60D30"/>
    <w:rsid w:val="00DC3924"/>
    <w:rsid w:val="00DD4C69"/>
    <w:rsid w:val="00DF73C3"/>
    <w:rsid w:val="00E407CF"/>
    <w:rsid w:val="00E67D96"/>
    <w:rsid w:val="00E7695C"/>
    <w:rsid w:val="00E81994"/>
    <w:rsid w:val="00E877E1"/>
    <w:rsid w:val="00E91E0E"/>
    <w:rsid w:val="00E9625E"/>
    <w:rsid w:val="00E964A3"/>
    <w:rsid w:val="00EA558F"/>
    <w:rsid w:val="00EA77BC"/>
    <w:rsid w:val="00EB68F4"/>
    <w:rsid w:val="00EF0027"/>
    <w:rsid w:val="00F43E42"/>
    <w:rsid w:val="00F728FE"/>
    <w:rsid w:val="00F74F3B"/>
    <w:rsid w:val="00F8582B"/>
    <w:rsid w:val="00F90E75"/>
    <w:rsid w:val="00FC6738"/>
    <w:rsid w:val="00FE1496"/>
    <w:rsid w:val="00FF26CF"/>
    <w:rsid w:val="24AD3938"/>
    <w:rsid w:val="2A3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Ben Lewis</cp:lastModifiedBy>
  <cp:revision>42</cp:revision>
  <cp:lastPrinted>2020-07-06T10:29:00Z</cp:lastPrinted>
  <dcterms:created xsi:type="dcterms:W3CDTF">2020-07-09T08:17:00Z</dcterms:created>
  <dcterms:modified xsi:type="dcterms:W3CDTF">2020-12-03T13:29:00Z</dcterms:modified>
</cp:coreProperties>
</file>